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D5" w:rsidRPr="002415D5" w:rsidRDefault="002415D5" w:rsidP="002415D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415D5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  <w:r w:rsidR="00B2553A" w:rsidRPr="002415D5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B423A7" w:rsidRPr="002415D5" w:rsidRDefault="0065737A" w:rsidP="002415D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415D5">
        <w:rPr>
          <w:rFonts w:ascii="Arial" w:hAnsi="Arial" w:cs="Arial"/>
          <w:b/>
          <w:caps/>
          <w:sz w:val="16"/>
          <w:szCs w:val="16"/>
        </w:rPr>
        <w:t>модели</w:t>
      </w:r>
      <w:r w:rsidR="002415D5" w:rsidRPr="002415D5">
        <w:rPr>
          <w:rFonts w:ascii="Arial" w:hAnsi="Arial" w:cs="Arial"/>
          <w:b/>
          <w:caps/>
          <w:sz w:val="16"/>
          <w:szCs w:val="16"/>
        </w:rPr>
        <w:t>:</w:t>
      </w:r>
      <w:r w:rsidR="00B2553A" w:rsidRPr="002415D5">
        <w:rPr>
          <w:rFonts w:ascii="Arial" w:hAnsi="Arial" w:cs="Arial"/>
          <w:b/>
          <w:caps/>
          <w:sz w:val="16"/>
          <w:szCs w:val="16"/>
        </w:rPr>
        <w:t xml:space="preserve"> </w:t>
      </w:r>
      <w:r w:rsidR="00025A4C" w:rsidRPr="002415D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3C678B" w:rsidRPr="002415D5">
        <w:rPr>
          <w:rFonts w:ascii="Arial" w:hAnsi="Arial" w:cs="Arial"/>
          <w:b/>
          <w:caps/>
          <w:sz w:val="16"/>
          <w:szCs w:val="16"/>
        </w:rPr>
        <w:t>9</w:t>
      </w:r>
      <w:r w:rsidR="00EE2D97" w:rsidRPr="002415D5">
        <w:rPr>
          <w:rFonts w:ascii="Arial" w:hAnsi="Arial" w:cs="Arial"/>
          <w:b/>
          <w:caps/>
          <w:sz w:val="16"/>
          <w:szCs w:val="16"/>
        </w:rPr>
        <w:t>0</w:t>
      </w:r>
      <w:r w:rsidR="003C678B" w:rsidRPr="002415D5">
        <w:rPr>
          <w:rFonts w:ascii="Arial" w:hAnsi="Arial" w:cs="Arial"/>
          <w:b/>
          <w:caps/>
          <w:sz w:val="16"/>
          <w:szCs w:val="16"/>
        </w:rPr>
        <w:t xml:space="preserve">, </w:t>
      </w:r>
      <w:r w:rsidR="003C678B" w:rsidRPr="002415D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3C678B" w:rsidRPr="002415D5">
        <w:rPr>
          <w:rFonts w:ascii="Arial" w:hAnsi="Arial" w:cs="Arial"/>
          <w:b/>
          <w:caps/>
          <w:sz w:val="16"/>
          <w:szCs w:val="16"/>
        </w:rPr>
        <w:t xml:space="preserve">91, </w:t>
      </w:r>
      <w:r w:rsidR="003C678B" w:rsidRPr="002415D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3C678B" w:rsidRPr="002415D5">
        <w:rPr>
          <w:rFonts w:ascii="Arial" w:hAnsi="Arial" w:cs="Arial"/>
          <w:b/>
          <w:caps/>
          <w:sz w:val="16"/>
          <w:szCs w:val="16"/>
        </w:rPr>
        <w:t>92</w:t>
      </w:r>
      <w:r w:rsidR="00673931" w:rsidRPr="002415D5">
        <w:rPr>
          <w:rFonts w:ascii="Arial" w:hAnsi="Arial" w:cs="Arial"/>
          <w:b/>
          <w:caps/>
          <w:sz w:val="16"/>
          <w:szCs w:val="16"/>
        </w:rPr>
        <w:t xml:space="preserve">, </w:t>
      </w:r>
      <w:r w:rsidR="00673931" w:rsidRPr="002415D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673931" w:rsidRPr="002415D5">
        <w:rPr>
          <w:rFonts w:ascii="Arial" w:hAnsi="Arial" w:cs="Arial"/>
          <w:b/>
          <w:caps/>
          <w:sz w:val="16"/>
          <w:szCs w:val="16"/>
        </w:rPr>
        <w:t>93</w:t>
      </w:r>
    </w:p>
    <w:p w:rsidR="00422025" w:rsidRPr="002415D5" w:rsidRDefault="00422025" w:rsidP="002415D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2415D5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2415D5" w:rsidRDefault="00B76FEA" w:rsidP="002415D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Описание</w:t>
      </w:r>
      <w:r w:rsidR="00C13B31" w:rsidRPr="002415D5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2415D5" w:rsidRDefault="00C13B31" w:rsidP="002415D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Изделие</w:t>
      </w:r>
      <w:r w:rsidR="0065737A" w:rsidRPr="002415D5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2415D5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9F1605" w:rsidRPr="002415D5">
        <w:rPr>
          <w:rFonts w:ascii="Arial" w:hAnsi="Arial" w:cs="Arial"/>
          <w:sz w:val="16"/>
          <w:szCs w:val="16"/>
        </w:rPr>
        <w:t xml:space="preserve">Гирлянда </w:t>
      </w:r>
      <w:r w:rsidR="003C678B" w:rsidRPr="002415D5">
        <w:rPr>
          <w:rFonts w:ascii="Arial" w:hAnsi="Arial" w:cs="Arial"/>
          <w:sz w:val="16"/>
          <w:szCs w:val="16"/>
        </w:rPr>
        <w:t xml:space="preserve">со степенью защиты </w:t>
      </w:r>
      <w:r w:rsidR="003C678B" w:rsidRPr="002415D5">
        <w:rPr>
          <w:rFonts w:ascii="Arial" w:hAnsi="Arial" w:cs="Arial"/>
          <w:sz w:val="16"/>
          <w:szCs w:val="16"/>
          <w:lang w:val="en-US"/>
        </w:rPr>
        <w:t>IP</w:t>
      </w:r>
      <w:r w:rsidR="003C678B" w:rsidRPr="002415D5">
        <w:rPr>
          <w:rFonts w:ascii="Arial" w:hAnsi="Arial" w:cs="Arial"/>
          <w:sz w:val="16"/>
          <w:szCs w:val="16"/>
        </w:rPr>
        <w:t xml:space="preserve">20 </w:t>
      </w:r>
      <w:r w:rsidR="009F1605" w:rsidRPr="002415D5">
        <w:rPr>
          <w:rFonts w:ascii="Arial" w:hAnsi="Arial" w:cs="Arial"/>
          <w:sz w:val="16"/>
          <w:szCs w:val="16"/>
        </w:rPr>
        <w:t>предназначена для применения внутри помещений</w:t>
      </w:r>
      <w:r w:rsidR="003C678B" w:rsidRPr="002415D5">
        <w:rPr>
          <w:rFonts w:ascii="Arial" w:hAnsi="Arial" w:cs="Arial"/>
          <w:sz w:val="16"/>
          <w:szCs w:val="16"/>
        </w:rPr>
        <w:t xml:space="preserve">, гирлянда со степенью защиты </w:t>
      </w:r>
      <w:r w:rsidR="003C678B" w:rsidRPr="002415D5">
        <w:rPr>
          <w:rFonts w:ascii="Arial" w:hAnsi="Arial" w:cs="Arial"/>
          <w:sz w:val="16"/>
          <w:szCs w:val="16"/>
          <w:lang w:val="en-US"/>
        </w:rPr>
        <w:t>IP</w:t>
      </w:r>
      <w:r w:rsidR="003C678B" w:rsidRPr="002415D5">
        <w:rPr>
          <w:rFonts w:ascii="Arial" w:hAnsi="Arial" w:cs="Arial"/>
          <w:sz w:val="16"/>
          <w:szCs w:val="16"/>
        </w:rPr>
        <w:t>44 может использоваться на улице</w:t>
      </w:r>
      <w:r w:rsidR="009F1605" w:rsidRPr="002415D5">
        <w:rPr>
          <w:rFonts w:ascii="Arial" w:hAnsi="Arial" w:cs="Arial"/>
          <w:sz w:val="16"/>
          <w:szCs w:val="16"/>
        </w:rPr>
        <w:t xml:space="preserve">. Гирлянда подходит для декоративной подсветки </w:t>
      </w:r>
      <w:r w:rsidR="003C678B" w:rsidRPr="002415D5">
        <w:rPr>
          <w:rFonts w:ascii="Arial" w:hAnsi="Arial" w:cs="Arial"/>
          <w:sz w:val="16"/>
          <w:szCs w:val="16"/>
        </w:rPr>
        <w:t>новогодних елок</w:t>
      </w:r>
      <w:r w:rsidR="009F1605" w:rsidRPr="002415D5">
        <w:rPr>
          <w:rFonts w:ascii="Arial" w:hAnsi="Arial" w:cs="Arial"/>
          <w:sz w:val="16"/>
          <w:szCs w:val="16"/>
        </w:rPr>
        <w:t>.</w:t>
      </w:r>
      <w:r w:rsidR="001D0301" w:rsidRPr="002415D5">
        <w:rPr>
          <w:rFonts w:ascii="Arial" w:hAnsi="Arial" w:cs="Arial"/>
          <w:sz w:val="16"/>
          <w:szCs w:val="16"/>
        </w:rPr>
        <w:t xml:space="preserve"> </w:t>
      </w:r>
    </w:p>
    <w:p w:rsidR="00422025" w:rsidRPr="002415D5" w:rsidRDefault="001D0301" w:rsidP="002415D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2415D5">
        <w:rPr>
          <w:rFonts w:ascii="Arial" w:hAnsi="Arial" w:cs="Arial"/>
          <w:sz w:val="16"/>
          <w:szCs w:val="16"/>
        </w:rPr>
        <w:t>от</w:t>
      </w:r>
      <w:r w:rsidRPr="002415D5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640836" w:rsidRPr="002415D5" w:rsidRDefault="00640836" w:rsidP="002415D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Гирлянды оснащены контроллером для управления режимами свечения.</w:t>
      </w:r>
    </w:p>
    <w:p w:rsidR="001502A2" w:rsidRPr="002415D5" w:rsidRDefault="001502A2" w:rsidP="002415D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2506"/>
        <w:gridCol w:w="1404"/>
        <w:gridCol w:w="1404"/>
        <w:gridCol w:w="1404"/>
      </w:tblGrid>
      <w:tr w:rsidR="001C2F47" w:rsidRPr="002415D5" w:rsidTr="001C2F47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2415D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CL91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CL92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CL93</w:t>
            </w:r>
          </w:p>
        </w:tc>
      </w:tr>
      <w:tr w:rsidR="001C2F47" w:rsidRPr="002415D5" w:rsidTr="00C975F0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1C2F47" w:rsidRPr="002415D5" w:rsidTr="001675A3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0.06</w:t>
            </w:r>
            <w:r w:rsidRPr="002415D5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1C2F47" w:rsidRPr="002415D5" w:rsidTr="001C2F47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2415D5">
              <w:rPr>
                <w:rFonts w:ascii="Arial" w:hAnsi="Arial" w:cs="Arial"/>
                <w:sz w:val="16"/>
                <w:szCs w:val="16"/>
              </w:rPr>
              <w:t xml:space="preserve">40шт. 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210</w:t>
            </w:r>
            <w:r w:rsidRPr="002415D5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500шт.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750шт.</w:t>
            </w:r>
          </w:p>
        </w:tc>
      </w:tr>
      <w:tr w:rsidR="001C2F47" w:rsidRPr="002415D5" w:rsidTr="001C2F47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Количество светодиодов на одном подвесе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30шт.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</w:tr>
      <w:tr w:rsidR="001C2F47" w:rsidRPr="002415D5" w:rsidTr="001C2F47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Длина подвеса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5м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5м</w:t>
            </w:r>
          </w:p>
        </w:tc>
      </w:tr>
      <w:tr w:rsidR="001C2F47" w:rsidRPr="002415D5" w:rsidTr="001C2F47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Количество подвесов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C2F47" w:rsidRPr="002415D5" w:rsidTr="00A60B6D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Диаметр основания гирлянды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1C2F47" w:rsidRPr="002415D5" w:rsidTr="00B6173E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C2F47" w:rsidRPr="002415D5" w:rsidTr="00C55744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3000±200К (теплый белый)/4500±500К (белый)/мультиколор (плавная смена цветов)</w:t>
            </w:r>
          </w:p>
        </w:tc>
      </w:tr>
      <w:tr w:rsidR="001C2F47" w:rsidRPr="002415D5" w:rsidTr="00FC3DFF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415D5" w:rsidRPr="002415D5" w:rsidTr="002415D5">
        <w:tc>
          <w:tcPr>
            <w:tcW w:w="0" w:type="auto"/>
          </w:tcPr>
          <w:p w:rsidR="002415D5" w:rsidRPr="002415D5" w:rsidRDefault="002415D5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1357" w:type="dxa"/>
          </w:tcPr>
          <w:p w:rsidR="002415D5" w:rsidRPr="002415D5" w:rsidRDefault="002415D5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-20°...+50°С</w:t>
            </w:r>
          </w:p>
        </w:tc>
        <w:tc>
          <w:tcPr>
            <w:tcW w:w="4932" w:type="dxa"/>
            <w:gridSpan w:val="3"/>
          </w:tcPr>
          <w:p w:rsidR="002415D5" w:rsidRPr="002415D5" w:rsidRDefault="002415D5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2415D5">
              <w:rPr>
                <w:rFonts w:ascii="Arial" w:hAnsi="Arial" w:cs="Arial"/>
                <w:sz w:val="16"/>
                <w:szCs w:val="16"/>
              </w:rPr>
              <w:t>°...+50°С</w:t>
            </w:r>
          </w:p>
        </w:tc>
      </w:tr>
      <w:tr w:rsidR="001C2F47" w:rsidRPr="002415D5" w:rsidTr="00A305E2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2415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3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</w:tr>
      <w:tr w:rsidR="002415D5" w:rsidRPr="002415D5" w:rsidTr="00A305E2">
        <w:tc>
          <w:tcPr>
            <w:tcW w:w="0" w:type="auto"/>
          </w:tcPr>
          <w:p w:rsidR="002415D5" w:rsidRPr="002415D5" w:rsidRDefault="002415D5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:rsidR="002415D5" w:rsidRPr="002415D5" w:rsidRDefault="002415D5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  <w:tc>
          <w:tcPr>
            <w:tcW w:w="0" w:type="auto"/>
            <w:gridSpan w:val="3"/>
          </w:tcPr>
          <w:p w:rsidR="002415D5" w:rsidRPr="002415D5" w:rsidRDefault="002415D5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У2</w:t>
            </w:r>
          </w:p>
        </w:tc>
      </w:tr>
      <w:tr w:rsidR="001C2F47" w:rsidRPr="002415D5" w:rsidTr="00AE2574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1C2F47" w:rsidRPr="002415D5" w:rsidTr="001371D2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1C2F47" w:rsidRPr="002415D5" w:rsidTr="00363BEC">
        <w:tc>
          <w:tcPr>
            <w:tcW w:w="0" w:type="auto"/>
          </w:tcPr>
          <w:p w:rsidR="001C2F47" w:rsidRPr="002415D5" w:rsidRDefault="001C2F47" w:rsidP="0024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0" w:type="auto"/>
            <w:gridSpan w:val="4"/>
          </w:tcPr>
          <w:p w:rsidR="001C2F47" w:rsidRPr="002415D5" w:rsidRDefault="001C2F47" w:rsidP="002415D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5D5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2415D5" w:rsidRDefault="00AF5A9F" w:rsidP="002415D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2415D5" w:rsidRDefault="007E508F" w:rsidP="002415D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2415D5">
        <w:rPr>
          <w:rFonts w:ascii="Arial" w:hAnsi="Arial" w:cs="Arial"/>
          <w:sz w:val="16"/>
          <w:szCs w:val="16"/>
        </w:rPr>
        <w:t xml:space="preserve"> с вилкой</w:t>
      </w:r>
      <w:r w:rsidR="00E36D77" w:rsidRPr="002415D5">
        <w:rPr>
          <w:rFonts w:ascii="Arial" w:hAnsi="Arial" w:cs="Arial"/>
          <w:sz w:val="16"/>
          <w:szCs w:val="16"/>
        </w:rPr>
        <w:t xml:space="preserve"> </w:t>
      </w:r>
      <w:r w:rsidR="00E52DE8" w:rsidRPr="002415D5">
        <w:rPr>
          <w:rFonts w:ascii="Arial" w:hAnsi="Arial" w:cs="Arial"/>
          <w:sz w:val="16"/>
          <w:szCs w:val="16"/>
        </w:rPr>
        <w:t>для подключения к сети</w:t>
      </w:r>
      <w:r w:rsidRPr="002415D5">
        <w:rPr>
          <w:rFonts w:ascii="Arial" w:hAnsi="Arial" w:cs="Arial"/>
          <w:sz w:val="16"/>
          <w:szCs w:val="16"/>
        </w:rPr>
        <w:t>.</w:t>
      </w:r>
    </w:p>
    <w:p w:rsidR="00AB6FC7" w:rsidRPr="002415D5" w:rsidRDefault="007E508F" w:rsidP="002415D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Инструкция.</w:t>
      </w:r>
    </w:p>
    <w:p w:rsidR="007E508F" w:rsidRPr="002415D5" w:rsidRDefault="007E508F" w:rsidP="002415D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Упаковка.</w:t>
      </w:r>
    </w:p>
    <w:p w:rsidR="00EC0B39" w:rsidRPr="002415D5" w:rsidRDefault="00EC0B39" w:rsidP="002415D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2415D5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2415D5" w:rsidRDefault="007E508F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2415D5">
        <w:rPr>
          <w:rFonts w:ascii="Arial" w:hAnsi="Arial" w:cs="Arial"/>
          <w:sz w:val="16"/>
          <w:szCs w:val="16"/>
        </w:rPr>
        <w:t>электрической гирлянды</w:t>
      </w:r>
      <w:r w:rsidRPr="002415D5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2415D5" w:rsidRDefault="007E508F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640836" w:rsidRPr="002415D5" w:rsidRDefault="00640836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Запрещено подключать</w:t>
      </w:r>
      <w:r w:rsidR="00D9276A" w:rsidRPr="002415D5">
        <w:rPr>
          <w:rFonts w:ascii="Arial" w:hAnsi="Arial" w:cs="Arial"/>
          <w:sz w:val="16"/>
          <w:szCs w:val="16"/>
        </w:rPr>
        <w:t xml:space="preserve"> гирлянды</w:t>
      </w:r>
      <w:r w:rsidRPr="002415D5">
        <w:rPr>
          <w:rFonts w:ascii="Arial" w:hAnsi="Arial" w:cs="Arial"/>
          <w:sz w:val="16"/>
          <w:szCs w:val="16"/>
        </w:rPr>
        <w:t xml:space="preserve"> в линию. </w:t>
      </w:r>
    </w:p>
    <w:p w:rsidR="00EC0B39" w:rsidRPr="002415D5" w:rsidRDefault="00EC0B39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2415D5">
        <w:rPr>
          <w:rFonts w:ascii="Arial" w:hAnsi="Arial" w:cs="Arial"/>
          <w:sz w:val="16"/>
          <w:szCs w:val="16"/>
        </w:rPr>
        <w:t>гирлянды</w:t>
      </w:r>
      <w:r w:rsidRPr="002415D5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2415D5">
        <w:rPr>
          <w:rFonts w:ascii="Arial" w:hAnsi="Arial" w:cs="Arial"/>
          <w:sz w:val="16"/>
          <w:szCs w:val="16"/>
        </w:rPr>
        <w:t>ым</w:t>
      </w:r>
      <w:r w:rsidRPr="002415D5">
        <w:rPr>
          <w:rFonts w:ascii="Arial" w:hAnsi="Arial" w:cs="Arial"/>
          <w:sz w:val="16"/>
          <w:szCs w:val="16"/>
        </w:rPr>
        <w:t xml:space="preserve"> </w:t>
      </w:r>
      <w:r w:rsidR="008B2D69" w:rsidRPr="002415D5">
        <w:rPr>
          <w:rFonts w:ascii="Arial" w:hAnsi="Arial" w:cs="Arial"/>
          <w:sz w:val="16"/>
          <w:szCs w:val="16"/>
        </w:rPr>
        <w:t>шнуром питания или</w:t>
      </w:r>
      <w:r w:rsidRPr="002415D5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2415D5">
        <w:rPr>
          <w:rFonts w:ascii="Arial" w:hAnsi="Arial" w:cs="Arial"/>
          <w:sz w:val="16"/>
          <w:szCs w:val="16"/>
        </w:rPr>
        <w:t>ой изоляцией кабеля</w:t>
      </w:r>
      <w:r w:rsidRPr="002415D5">
        <w:rPr>
          <w:rFonts w:ascii="Arial" w:hAnsi="Arial" w:cs="Arial"/>
          <w:sz w:val="16"/>
          <w:szCs w:val="16"/>
        </w:rPr>
        <w:t>.</w:t>
      </w:r>
    </w:p>
    <w:p w:rsidR="00187F03" w:rsidRPr="002415D5" w:rsidRDefault="00187F03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Запрещено резать гирлянду.</w:t>
      </w:r>
    </w:p>
    <w:p w:rsidR="001C2F47" w:rsidRPr="002415D5" w:rsidRDefault="001C2F47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Запрещено подвешивать на гирлянду грузы или создавать какую-либо другую механическую нагрузку.</w:t>
      </w:r>
    </w:p>
    <w:p w:rsidR="00EC0B39" w:rsidRPr="002415D5" w:rsidRDefault="00EC0B39" w:rsidP="002415D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2415D5">
        <w:rPr>
          <w:rFonts w:ascii="Arial" w:hAnsi="Arial" w:cs="Arial"/>
          <w:sz w:val="16"/>
          <w:szCs w:val="16"/>
        </w:rPr>
        <w:t>изделия</w:t>
      </w:r>
      <w:r w:rsidRPr="002415D5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2415D5" w:rsidRDefault="008350C7" w:rsidP="002415D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2415D5" w:rsidRDefault="00415C24" w:rsidP="002415D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До</w:t>
      </w:r>
      <w:r w:rsidR="00187F03" w:rsidRPr="002415D5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2415D5">
        <w:rPr>
          <w:rFonts w:ascii="Arial" w:hAnsi="Arial" w:cs="Arial"/>
          <w:sz w:val="16"/>
          <w:szCs w:val="16"/>
        </w:rPr>
        <w:t>.</w:t>
      </w:r>
      <w:r w:rsidR="00C13B31" w:rsidRPr="002415D5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2415D5" w:rsidRDefault="00187F03" w:rsidP="002415D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2415D5" w:rsidRDefault="00187F03" w:rsidP="002415D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2415D5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2415D5" w:rsidRDefault="00E5250B" w:rsidP="002415D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2415D5">
        <w:rPr>
          <w:rFonts w:ascii="Arial" w:hAnsi="Arial" w:cs="Arial"/>
          <w:sz w:val="16"/>
          <w:szCs w:val="16"/>
        </w:rPr>
        <w:t xml:space="preserve"> </w:t>
      </w:r>
      <w:r w:rsidR="000E420B" w:rsidRPr="002415D5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2415D5" w:rsidRDefault="000F6746" w:rsidP="002415D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2415D5" w:rsidRDefault="00E5250B" w:rsidP="002415D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2415D5" w:rsidRDefault="000F6746" w:rsidP="002415D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2415D5">
        <w:rPr>
          <w:rFonts w:ascii="Arial" w:hAnsi="Arial" w:cs="Arial"/>
          <w:sz w:val="16"/>
          <w:szCs w:val="16"/>
        </w:rPr>
        <w:t>с</w:t>
      </w:r>
      <w:r w:rsidR="00C13B31" w:rsidRPr="002415D5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2415D5">
        <w:rPr>
          <w:rFonts w:ascii="Arial" w:hAnsi="Arial" w:cs="Arial"/>
          <w:sz w:val="16"/>
          <w:szCs w:val="16"/>
        </w:rPr>
        <w:t xml:space="preserve"> </w:t>
      </w:r>
      <w:r w:rsidR="00C13B31" w:rsidRPr="002415D5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2415D5">
        <w:rPr>
          <w:rFonts w:ascii="Arial" w:hAnsi="Arial" w:cs="Arial"/>
          <w:sz w:val="16"/>
          <w:szCs w:val="16"/>
        </w:rPr>
        <w:t>главой 2.12 ПТЭЭП и ППБ 01-03</w:t>
      </w:r>
      <w:r w:rsidRPr="002415D5">
        <w:rPr>
          <w:rFonts w:ascii="Arial" w:hAnsi="Arial" w:cs="Arial"/>
          <w:sz w:val="16"/>
          <w:szCs w:val="16"/>
        </w:rPr>
        <w:t>.</w:t>
      </w:r>
    </w:p>
    <w:p w:rsidR="000F6746" w:rsidRPr="002415D5" w:rsidRDefault="00CF381C" w:rsidP="002415D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2415D5">
        <w:rPr>
          <w:rFonts w:ascii="Arial" w:hAnsi="Arial" w:cs="Arial"/>
          <w:sz w:val="16"/>
          <w:szCs w:val="16"/>
        </w:rPr>
        <w:t>электрической гирлянды</w:t>
      </w:r>
      <w:r w:rsidRPr="002415D5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2415D5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2415D5">
        <w:rPr>
          <w:rFonts w:ascii="Arial" w:hAnsi="Arial" w:cs="Arial"/>
          <w:sz w:val="16"/>
          <w:szCs w:val="16"/>
        </w:rPr>
        <w:t>.</w:t>
      </w:r>
    </w:p>
    <w:p w:rsidR="00212792" w:rsidRPr="002415D5" w:rsidRDefault="00212792" w:rsidP="002415D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2415D5" w:rsidTr="00D43B01">
        <w:tc>
          <w:tcPr>
            <w:tcW w:w="0" w:type="auto"/>
            <w:vAlign w:val="center"/>
          </w:tcPr>
          <w:p w:rsidR="00CF381C" w:rsidRPr="002415D5" w:rsidRDefault="00CF381C" w:rsidP="002415D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15D5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2415D5" w:rsidRDefault="00CF381C" w:rsidP="002415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15D5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2415D5" w:rsidRDefault="00CF381C" w:rsidP="002415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15D5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2415D5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2415D5" w:rsidRDefault="00CF381C" w:rsidP="002415D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2415D5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2415D5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2415D5" w:rsidRDefault="00CF381C" w:rsidP="002415D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2415D5" w:rsidRDefault="00CF381C" w:rsidP="002415D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2415D5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2415D5" w:rsidRDefault="00D43B01" w:rsidP="002415D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2415D5" w:rsidRDefault="00D43B01" w:rsidP="002415D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2415D5" w:rsidRDefault="00D43B01" w:rsidP="002415D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5D5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2415D5" w:rsidRDefault="00E5250B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2415D5" w:rsidRDefault="007130D2" w:rsidP="002415D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2415D5" w:rsidRDefault="00E5250B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Товар </w:t>
      </w:r>
      <w:r w:rsidR="007130D2" w:rsidRPr="002415D5">
        <w:rPr>
          <w:rFonts w:ascii="Arial" w:hAnsi="Arial" w:cs="Arial"/>
          <w:sz w:val="16"/>
          <w:szCs w:val="16"/>
        </w:rPr>
        <w:t>хран</w:t>
      </w:r>
      <w:r w:rsidRPr="002415D5">
        <w:rPr>
          <w:rFonts w:ascii="Arial" w:hAnsi="Arial" w:cs="Arial"/>
          <w:sz w:val="16"/>
          <w:szCs w:val="16"/>
        </w:rPr>
        <w:t>и</w:t>
      </w:r>
      <w:r w:rsidR="007130D2" w:rsidRPr="002415D5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2415D5" w:rsidRDefault="0026204A" w:rsidP="002415D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2415D5" w:rsidRDefault="00E5250B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Товар </w:t>
      </w:r>
      <w:r w:rsidR="0026204A" w:rsidRPr="002415D5">
        <w:rPr>
          <w:rFonts w:ascii="Arial" w:hAnsi="Arial" w:cs="Arial"/>
          <w:sz w:val="16"/>
          <w:szCs w:val="16"/>
        </w:rPr>
        <w:t>в упаковке пригод</w:t>
      </w:r>
      <w:r w:rsidRPr="002415D5">
        <w:rPr>
          <w:rFonts w:ascii="Arial" w:hAnsi="Arial" w:cs="Arial"/>
          <w:sz w:val="16"/>
          <w:szCs w:val="16"/>
        </w:rPr>
        <w:t>е</w:t>
      </w:r>
      <w:r w:rsidR="0026204A" w:rsidRPr="002415D5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2415D5" w:rsidRDefault="0026204A" w:rsidP="002415D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2415D5" w:rsidRDefault="00E5250B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2415D5">
        <w:rPr>
          <w:rFonts w:ascii="Arial" w:hAnsi="Arial" w:cs="Arial"/>
          <w:sz w:val="16"/>
          <w:szCs w:val="16"/>
        </w:rPr>
        <w:t xml:space="preserve"> </w:t>
      </w:r>
    </w:p>
    <w:p w:rsidR="00824FF2" w:rsidRPr="002415D5" w:rsidRDefault="00824FF2" w:rsidP="002415D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2415D5" w:rsidRDefault="002415D5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2415D5" w:rsidRDefault="00824FF2" w:rsidP="002415D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lastRenderedPageBreak/>
        <w:t>Информация об изготовителе и дата производства.</w:t>
      </w:r>
    </w:p>
    <w:p w:rsidR="002415D5" w:rsidRPr="002415D5" w:rsidRDefault="002415D5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415D5">
        <w:rPr>
          <w:rFonts w:ascii="Arial" w:hAnsi="Arial" w:cs="Arial"/>
          <w:sz w:val="16"/>
          <w:szCs w:val="16"/>
        </w:rPr>
        <w:t>Ningbo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Yusing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Electronics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Co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415D5">
        <w:rPr>
          <w:rFonts w:ascii="Arial" w:hAnsi="Arial" w:cs="Arial"/>
          <w:sz w:val="16"/>
          <w:szCs w:val="16"/>
        </w:rPr>
        <w:t>Civil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Industrial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Zone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15D5">
        <w:rPr>
          <w:rFonts w:ascii="Arial" w:hAnsi="Arial" w:cs="Arial"/>
          <w:sz w:val="16"/>
          <w:szCs w:val="16"/>
        </w:rPr>
        <w:t>Pugen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Vilage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15D5">
        <w:rPr>
          <w:rFonts w:ascii="Arial" w:hAnsi="Arial" w:cs="Arial"/>
          <w:sz w:val="16"/>
          <w:szCs w:val="16"/>
        </w:rPr>
        <w:t>Qiu’ai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15D5">
        <w:rPr>
          <w:rFonts w:ascii="Arial" w:hAnsi="Arial" w:cs="Arial"/>
          <w:sz w:val="16"/>
          <w:szCs w:val="16"/>
        </w:rPr>
        <w:t>Ningbo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15D5">
        <w:rPr>
          <w:rFonts w:ascii="Arial" w:hAnsi="Arial" w:cs="Arial"/>
          <w:sz w:val="16"/>
          <w:szCs w:val="16"/>
        </w:rPr>
        <w:t>China</w:t>
      </w:r>
      <w:proofErr w:type="spellEnd"/>
      <w:r w:rsidRPr="002415D5">
        <w:rPr>
          <w:rFonts w:ascii="Arial" w:hAnsi="Arial" w:cs="Arial"/>
          <w:sz w:val="16"/>
          <w:szCs w:val="16"/>
        </w:rPr>
        <w:t>/ООО "</w:t>
      </w:r>
      <w:proofErr w:type="spellStart"/>
      <w:r w:rsidRPr="002415D5">
        <w:rPr>
          <w:rFonts w:ascii="Arial" w:hAnsi="Arial" w:cs="Arial"/>
          <w:sz w:val="16"/>
          <w:szCs w:val="16"/>
        </w:rPr>
        <w:t>Нингбо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Юсинг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15D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415D5">
        <w:rPr>
          <w:rFonts w:ascii="Arial" w:hAnsi="Arial" w:cs="Arial"/>
          <w:sz w:val="16"/>
          <w:szCs w:val="16"/>
        </w:rPr>
        <w:t>Цивил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415D5">
        <w:rPr>
          <w:rFonts w:ascii="Arial" w:hAnsi="Arial" w:cs="Arial"/>
          <w:sz w:val="16"/>
          <w:szCs w:val="16"/>
        </w:rPr>
        <w:t>Пуген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15D5">
        <w:rPr>
          <w:rFonts w:ascii="Arial" w:hAnsi="Arial" w:cs="Arial"/>
          <w:sz w:val="16"/>
          <w:szCs w:val="16"/>
        </w:rPr>
        <w:t>Цюай</w:t>
      </w:r>
      <w:proofErr w:type="spellEnd"/>
      <w:r w:rsidRPr="002415D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415D5">
        <w:rPr>
          <w:rFonts w:ascii="Arial" w:hAnsi="Arial" w:cs="Arial"/>
          <w:sz w:val="16"/>
          <w:szCs w:val="16"/>
        </w:rPr>
        <w:t>Нингбо</w:t>
      </w:r>
      <w:proofErr w:type="spellEnd"/>
      <w:r w:rsidRPr="002415D5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824FF2" w:rsidRPr="002415D5" w:rsidRDefault="002415D5" w:rsidP="002415D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2415D5" w:rsidRDefault="003441EE" w:rsidP="002415D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15D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2415D5" w:rsidRDefault="00BD359A" w:rsidP="002415D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2415D5">
        <w:rPr>
          <w:rFonts w:ascii="Arial" w:hAnsi="Arial" w:cs="Arial"/>
          <w:sz w:val="16"/>
          <w:szCs w:val="16"/>
        </w:rPr>
        <w:t>товар</w:t>
      </w:r>
      <w:r w:rsidRPr="002415D5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2415D5" w:rsidRDefault="00191786" w:rsidP="002415D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2415D5" w:rsidRDefault="00CF381C" w:rsidP="002415D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2415D5">
        <w:rPr>
          <w:rFonts w:ascii="Arial" w:hAnsi="Arial" w:cs="Arial"/>
          <w:sz w:val="16"/>
          <w:szCs w:val="16"/>
        </w:rPr>
        <w:t>отсутствия документов,</w:t>
      </w:r>
      <w:r w:rsidRPr="002415D5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2415D5" w:rsidRDefault="00191786" w:rsidP="002415D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2415D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2415D5">
        <w:rPr>
          <w:rFonts w:ascii="Arial" w:hAnsi="Arial" w:cs="Arial"/>
          <w:sz w:val="16"/>
          <w:szCs w:val="16"/>
        </w:rPr>
        <w:t>в других целях,</w:t>
      </w:r>
      <w:r w:rsidRPr="002415D5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EA05C1" w:rsidRPr="002415D5" w:rsidRDefault="00EA05C1" w:rsidP="002415D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  <w:bookmarkStart w:id="0" w:name="_GoBack"/>
      <w:bookmarkEnd w:id="0"/>
    </w:p>
    <w:p w:rsidR="0026204A" w:rsidRPr="002415D5" w:rsidRDefault="00CF381C" w:rsidP="002415D5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2415D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5D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2415D5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2415D5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43AF"/>
    <w:rsid w:val="00025A4C"/>
    <w:rsid w:val="00032C5E"/>
    <w:rsid w:val="00045535"/>
    <w:rsid w:val="00070C6C"/>
    <w:rsid w:val="0007624A"/>
    <w:rsid w:val="000A26F0"/>
    <w:rsid w:val="000D0D9B"/>
    <w:rsid w:val="000E420B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C2F47"/>
    <w:rsid w:val="001D0301"/>
    <w:rsid w:val="001D7F18"/>
    <w:rsid w:val="001F7B8C"/>
    <w:rsid w:val="00212792"/>
    <w:rsid w:val="002415D5"/>
    <w:rsid w:val="002577D4"/>
    <w:rsid w:val="0026204A"/>
    <w:rsid w:val="002B0A4F"/>
    <w:rsid w:val="002E51C7"/>
    <w:rsid w:val="002E668A"/>
    <w:rsid w:val="002F5461"/>
    <w:rsid w:val="003441EE"/>
    <w:rsid w:val="00345CB6"/>
    <w:rsid w:val="00346ACB"/>
    <w:rsid w:val="00352891"/>
    <w:rsid w:val="00355A40"/>
    <w:rsid w:val="003C678B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5E1E53"/>
    <w:rsid w:val="0062477F"/>
    <w:rsid w:val="00640836"/>
    <w:rsid w:val="0064424E"/>
    <w:rsid w:val="00657302"/>
    <w:rsid w:val="0065737A"/>
    <w:rsid w:val="00673931"/>
    <w:rsid w:val="00680F02"/>
    <w:rsid w:val="006922B4"/>
    <w:rsid w:val="0069726A"/>
    <w:rsid w:val="006B16D9"/>
    <w:rsid w:val="006C0D2C"/>
    <w:rsid w:val="006C193E"/>
    <w:rsid w:val="006F5DEC"/>
    <w:rsid w:val="007130D2"/>
    <w:rsid w:val="00716667"/>
    <w:rsid w:val="00720DED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157F6"/>
    <w:rsid w:val="00924865"/>
    <w:rsid w:val="00927280"/>
    <w:rsid w:val="00934482"/>
    <w:rsid w:val="00936567"/>
    <w:rsid w:val="00994541"/>
    <w:rsid w:val="009A251E"/>
    <w:rsid w:val="009B1537"/>
    <w:rsid w:val="009B6ADA"/>
    <w:rsid w:val="009C1245"/>
    <w:rsid w:val="009C26B8"/>
    <w:rsid w:val="009E1F71"/>
    <w:rsid w:val="009E3A7B"/>
    <w:rsid w:val="009E4692"/>
    <w:rsid w:val="009E7112"/>
    <w:rsid w:val="009F1605"/>
    <w:rsid w:val="009F20AE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2553A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F35FD"/>
    <w:rsid w:val="00CF381C"/>
    <w:rsid w:val="00D318E8"/>
    <w:rsid w:val="00D43B01"/>
    <w:rsid w:val="00D516D9"/>
    <w:rsid w:val="00D56290"/>
    <w:rsid w:val="00D605B0"/>
    <w:rsid w:val="00D9276A"/>
    <w:rsid w:val="00D9522C"/>
    <w:rsid w:val="00DC553C"/>
    <w:rsid w:val="00E36D77"/>
    <w:rsid w:val="00E5250B"/>
    <w:rsid w:val="00E52DE8"/>
    <w:rsid w:val="00E619BD"/>
    <w:rsid w:val="00E767CF"/>
    <w:rsid w:val="00EA05C1"/>
    <w:rsid w:val="00EC0B39"/>
    <w:rsid w:val="00EE2D97"/>
    <w:rsid w:val="00EF7698"/>
    <w:rsid w:val="00F02EC5"/>
    <w:rsid w:val="00F04E40"/>
    <w:rsid w:val="00F202A0"/>
    <w:rsid w:val="00F86453"/>
    <w:rsid w:val="00FD1510"/>
    <w:rsid w:val="00FE57D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DA3D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2367-ECE9-4570-A09C-C557B78B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5967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6</cp:revision>
  <dcterms:created xsi:type="dcterms:W3CDTF">2018-05-31T13:08:00Z</dcterms:created>
  <dcterms:modified xsi:type="dcterms:W3CDTF">2020-04-28T12:27:00Z</dcterms:modified>
</cp:coreProperties>
</file>